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2A1B1E" w14:textId="77977ED5" w:rsidR="00411AF8" w:rsidRPr="00D564D7" w:rsidRDefault="00411AF8" w:rsidP="00283C23">
      <w:pPr>
        <w:autoSpaceDE w:val="0"/>
        <w:autoSpaceDN w:val="0"/>
        <w:adjustRightInd w:val="0"/>
        <w:spacing w:after="0" w:line="240" w:lineRule="auto"/>
        <w:contextualSpacing/>
        <w:rPr>
          <w:rFonts w:cstheme="minorHAnsi"/>
          <w:b/>
          <w:bCs/>
        </w:rPr>
      </w:pPr>
      <w:r w:rsidRPr="00D564D7">
        <w:rPr>
          <w:rFonts w:cstheme="minorHAnsi"/>
          <w:b/>
          <w:bCs/>
        </w:rPr>
        <w:t xml:space="preserve">Munroe Vertical Clarifier; </w:t>
      </w:r>
      <w:r w:rsidR="00D564D7" w:rsidRPr="00D564D7">
        <w:rPr>
          <w:rFonts w:cstheme="minorHAnsi"/>
          <w:b/>
          <w:bCs/>
        </w:rPr>
        <w:t>C</w:t>
      </w:r>
      <w:r w:rsidRPr="00D564D7">
        <w:rPr>
          <w:rFonts w:cstheme="minorHAnsi"/>
          <w:b/>
          <w:bCs/>
        </w:rPr>
        <w:t xml:space="preserve">omplete with L-Shaped Access Platform </w:t>
      </w:r>
    </w:p>
    <w:p w14:paraId="1EF4B6B7" w14:textId="4D4C0C25" w:rsidR="002114F7" w:rsidRDefault="002114F7" w:rsidP="002114F7">
      <w:pPr>
        <w:contextualSpacing/>
        <w:rPr>
          <w:rFonts w:cstheme="minorHAnsi"/>
        </w:rPr>
      </w:pPr>
      <w:r>
        <w:rPr>
          <w:rFonts w:cstheme="minorHAnsi"/>
        </w:rPr>
        <w:t xml:space="preserve">Model </w:t>
      </w:r>
      <w:r w:rsidRPr="00283C23">
        <w:rPr>
          <w:rFonts w:cstheme="minorHAnsi"/>
        </w:rPr>
        <w:t>VC-300 | 105 GPM</w:t>
      </w:r>
    </w:p>
    <w:p w14:paraId="3622D6CE" w14:textId="2D125EB4" w:rsidR="002114F7" w:rsidRDefault="002114F7" w:rsidP="002114F7">
      <w:pPr>
        <w:autoSpaceDE w:val="0"/>
        <w:autoSpaceDN w:val="0"/>
        <w:adjustRightInd w:val="0"/>
        <w:spacing w:after="0" w:line="240" w:lineRule="auto"/>
        <w:contextualSpacing/>
        <w:rPr>
          <w:rFonts w:cstheme="minorHAnsi"/>
        </w:rPr>
      </w:pPr>
      <w:r>
        <w:rPr>
          <w:rFonts w:cstheme="minorHAnsi"/>
        </w:rPr>
        <w:t>Condition; Good</w:t>
      </w:r>
    </w:p>
    <w:p w14:paraId="4B06A863" w14:textId="288FF7D1" w:rsidR="003A41EC" w:rsidRDefault="003A41EC" w:rsidP="00283C23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>Location:</w:t>
      </w:r>
    </w:p>
    <w:p w14:paraId="3B8B03D8" w14:textId="34C7D929" w:rsidR="003A41EC" w:rsidRDefault="00283C23" w:rsidP="003A41EC">
      <w:pPr>
        <w:rPr>
          <w:rFonts w:cstheme="minorHAnsi"/>
        </w:rPr>
      </w:pPr>
      <w:r w:rsidRPr="00283C23">
        <w:rPr>
          <w:rFonts w:cstheme="minorHAnsi"/>
        </w:rPr>
        <w:t>Brainerd, MN 56401 USA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2114F7" w14:paraId="7CF95654" w14:textId="77777777" w:rsidTr="00174975">
        <w:tc>
          <w:tcPr>
            <w:tcW w:w="9350" w:type="dxa"/>
            <w:gridSpan w:val="2"/>
          </w:tcPr>
          <w:p w14:paraId="008EAFC2" w14:textId="77777777" w:rsidR="002114F7" w:rsidRDefault="002114F7" w:rsidP="002114F7">
            <w:pPr>
              <w:jc w:val="center"/>
              <w:rPr>
                <w:rFonts w:cstheme="minorHAnsi"/>
              </w:rPr>
            </w:pPr>
            <w:r>
              <w:rPr>
                <w:b/>
                <w:bCs/>
                <w:sz w:val="23"/>
                <w:szCs w:val="23"/>
              </w:rPr>
              <w:t>Design Criteria</w:t>
            </w:r>
          </w:p>
        </w:tc>
      </w:tr>
      <w:tr w:rsidR="002114F7" w14:paraId="63F52D39" w14:textId="77777777" w:rsidTr="00174975">
        <w:tc>
          <w:tcPr>
            <w:tcW w:w="4675" w:type="dxa"/>
          </w:tcPr>
          <w:p w14:paraId="0471BED8" w14:textId="77777777" w:rsidR="002114F7" w:rsidRDefault="002114F7" w:rsidP="00174975">
            <w:pPr>
              <w:rPr>
                <w:rFonts w:cstheme="minorHAnsi"/>
              </w:rPr>
            </w:pPr>
            <w:r>
              <w:t xml:space="preserve">Design Flow Rate </w:t>
            </w:r>
          </w:p>
        </w:tc>
        <w:tc>
          <w:tcPr>
            <w:tcW w:w="4675" w:type="dxa"/>
          </w:tcPr>
          <w:p w14:paraId="1AB319E5" w14:textId="77777777" w:rsidR="002114F7" w:rsidRDefault="002114F7" w:rsidP="00174975">
            <w:pPr>
              <w:rPr>
                <w:rFonts w:cstheme="minorHAnsi"/>
              </w:rPr>
            </w:pPr>
            <w:r>
              <w:t xml:space="preserve">105 GPM </w:t>
            </w:r>
          </w:p>
        </w:tc>
      </w:tr>
      <w:tr w:rsidR="002114F7" w14:paraId="4EC318DD" w14:textId="77777777" w:rsidTr="00174975">
        <w:tc>
          <w:tcPr>
            <w:tcW w:w="4675" w:type="dxa"/>
          </w:tcPr>
          <w:p w14:paraId="4FD4C50A" w14:textId="77777777" w:rsidR="002114F7" w:rsidRDefault="002114F7" w:rsidP="00174975">
            <w:pPr>
              <w:rPr>
                <w:rFonts w:cstheme="minorHAnsi"/>
              </w:rPr>
            </w:pPr>
            <w:r>
              <w:t xml:space="preserve">Monroe Model </w:t>
            </w:r>
          </w:p>
        </w:tc>
        <w:tc>
          <w:tcPr>
            <w:tcW w:w="4675" w:type="dxa"/>
          </w:tcPr>
          <w:p w14:paraId="3097E89A" w14:textId="77777777" w:rsidR="002114F7" w:rsidRDefault="002114F7" w:rsidP="00174975">
            <w:pPr>
              <w:rPr>
                <w:rFonts w:cstheme="minorHAnsi"/>
              </w:rPr>
            </w:pPr>
            <w:r>
              <w:t xml:space="preserve">VC-300 </w:t>
            </w:r>
          </w:p>
        </w:tc>
      </w:tr>
      <w:tr w:rsidR="002114F7" w14:paraId="6F725A5C" w14:textId="77777777" w:rsidTr="00174975">
        <w:tc>
          <w:tcPr>
            <w:tcW w:w="4675" w:type="dxa"/>
          </w:tcPr>
          <w:p w14:paraId="2D9DA39D" w14:textId="77777777" w:rsidR="002114F7" w:rsidRDefault="002114F7" w:rsidP="0017497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Approximate Clarifier Dimensions </w:t>
            </w:r>
          </w:p>
          <w:p w14:paraId="139A82E6" w14:textId="77777777" w:rsidR="002114F7" w:rsidRDefault="002114F7" w:rsidP="00174975">
            <w:pPr>
              <w:rPr>
                <w:rFonts w:cstheme="minorHAnsi"/>
              </w:rPr>
            </w:pPr>
            <w:r>
              <w:rPr>
                <w:sz w:val="23"/>
                <w:szCs w:val="23"/>
              </w:rPr>
              <w:t xml:space="preserve">with Pretreatment Tanks </w:t>
            </w:r>
          </w:p>
        </w:tc>
        <w:tc>
          <w:tcPr>
            <w:tcW w:w="4675" w:type="dxa"/>
          </w:tcPr>
          <w:p w14:paraId="299C6243" w14:textId="77777777" w:rsidR="002114F7" w:rsidRDefault="002114F7" w:rsidP="00174975">
            <w:pPr>
              <w:rPr>
                <w:rFonts w:cstheme="minorHAnsi"/>
              </w:rPr>
            </w:pPr>
            <w:r>
              <w:rPr>
                <w:sz w:val="23"/>
                <w:szCs w:val="23"/>
              </w:rPr>
              <w:t xml:space="preserve">6'-0" W x 15'-0" L x 14'-0" H </w:t>
            </w:r>
          </w:p>
        </w:tc>
      </w:tr>
      <w:tr w:rsidR="002114F7" w14:paraId="7569E193" w14:textId="77777777" w:rsidTr="00174975">
        <w:tc>
          <w:tcPr>
            <w:tcW w:w="4675" w:type="dxa"/>
          </w:tcPr>
          <w:p w14:paraId="11017A34" w14:textId="77777777" w:rsidR="002114F7" w:rsidRDefault="002114F7" w:rsidP="00174975">
            <w:pPr>
              <w:rPr>
                <w:rFonts w:cstheme="minorHAnsi"/>
              </w:rPr>
            </w:pPr>
            <w:r>
              <w:t xml:space="preserve">Effective Settling Area </w:t>
            </w:r>
          </w:p>
        </w:tc>
        <w:tc>
          <w:tcPr>
            <w:tcW w:w="4675" w:type="dxa"/>
          </w:tcPr>
          <w:p w14:paraId="00B9DD42" w14:textId="77777777" w:rsidR="002114F7" w:rsidRDefault="002114F7" w:rsidP="00174975">
            <w:pPr>
              <w:rPr>
                <w:rFonts w:cstheme="minorHAnsi"/>
              </w:rPr>
            </w:pPr>
            <w:r>
              <w:t xml:space="preserve">300 ft2 </w:t>
            </w:r>
          </w:p>
        </w:tc>
      </w:tr>
      <w:tr w:rsidR="002114F7" w14:paraId="7B6B7CEF" w14:textId="77777777" w:rsidTr="00174975">
        <w:tc>
          <w:tcPr>
            <w:tcW w:w="4675" w:type="dxa"/>
          </w:tcPr>
          <w:p w14:paraId="79FFB1DF" w14:textId="77777777" w:rsidR="002114F7" w:rsidRDefault="002114F7" w:rsidP="00174975">
            <w:pPr>
              <w:rPr>
                <w:rFonts w:cstheme="minorHAnsi"/>
              </w:rPr>
            </w:pPr>
            <w:r>
              <w:t xml:space="preserve">Actual Settling Area </w:t>
            </w:r>
          </w:p>
        </w:tc>
        <w:tc>
          <w:tcPr>
            <w:tcW w:w="4675" w:type="dxa"/>
          </w:tcPr>
          <w:p w14:paraId="6157ABED" w14:textId="77777777" w:rsidR="002114F7" w:rsidRDefault="002114F7" w:rsidP="00174975">
            <w:pPr>
              <w:rPr>
                <w:rFonts w:cstheme="minorHAnsi"/>
              </w:rPr>
            </w:pPr>
            <w:r>
              <w:t xml:space="preserve">524 ft2 </w:t>
            </w:r>
          </w:p>
        </w:tc>
      </w:tr>
      <w:tr w:rsidR="002114F7" w14:paraId="72B7EC07" w14:textId="77777777" w:rsidTr="00174975">
        <w:tc>
          <w:tcPr>
            <w:tcW w:w="4675" w:type="dxa"/>
          </w:tcPr>
          <w:p w14:paraId="65A4D4DB" w14:textId="77777777" w:rsidR="002114F7" w:rsidRDefault="002114F7" w:rsidP="00174975">
            <w:pPr>
              <w:rPr>
                <w:rFonts w:cstheme="minorHAnsi"/>
              </w:rPr>
            </w:pPr>
            <w:r>
              <w:rPr>
                <w:sz w:val="23"/>
                <w:szCs w:val="23"/>
              </w:rPr>
              <w:t xml:space="preserve">Tank Material of Construction </w:t>
            </w:r>
          </w:p>
        </w:tc>
        <w:tc>
          <w:tcPr>
            <w:tcW w:w="4675" w:type="dxa"/>
          </w:tcPr>
          <w:p w14:paraId="7F86D575" w14:textId="77777777" w:rsidR="002114F7" w:rsidRDefault="002114F7" w:rsidP="00174975">
            <w:pPr>
              <w:rPr>
                <w:rFonts w:cstheme="minorHAnsi"/>
              </w:rPr>
            </w:pPr>
            <w:r>
              <w:t xml:space="preserve">304 Stainless Steel </w:t>
            </w:r>
          </w:p>
        </w:tc>
      </w:tr>
      <w:tr w:rsidR="002114F7" w14:paraId="21569E13" w14:textId="77777777" w:rsidTr="00174975">
        <w:tc>
          <w:tcPr>
            <w:tcW w:w="4675" w:type="dxa"/>
          </w:tcPr>
          <w:p w14:paraId="14E6B292" w14:textId="77777777" w:rsidR="002114F7" w:rsidRDefault="002114F7" w:rsidP="00174975">
            <w:pPr>
              <w:rPr>
                <w:rFonts w:cstheme="minorHAnsi"/>
              </w:rPr>
            </w:pPr>
            <w:r>
              <w:rPr>
                <w:sz w:val="23"/>
                <w:szCs w:val="23"/>
              </w:rPr>
              <w:t xml:space="preserve">Structure Material of Construction </w:t>
            </w:r>
          </w:p>
        </w:tc>
        <w:tc>
          <w:tcPr>
            <w:tcW w:w="4675" w:type="dxa"/>
          </w:tcPr>
          <w:p w14:paraId="715D3F69" w14:textId="77777777" w:rsidR="002114F7" w:rsidRDefault="002114F7" w:rsidP="00174975">
            <w:pPr>
              <w:rPr>
                <w:rFonts w:cstheme="minorHAnsi"/>
              </w:rPr>
            </w:pPr>
            <w:r>
              <w:t xml:space="preserve">304 Stainless Steel </w:t>
            </w:r>
          </w:p>
        </w:tc>
      </w:tr>
      <w:tr w:rsidR="002114F7" w14:paraId="503260AC" w14:textId="77777777" w:rsidTr="00174975">
        <w:tc>
          <w:tcPr>
            <w:tcW w:w="4675" w:type="dxa"/>
          </w:tcPr>
          <w:p w14:paraId="12FB0D5B" w14:textId="77777777" w:rsidR="002114F7" w:rsidRDefault="002114F7" w:rsidP="00174975">
            <w:pPr>
              <w:rPr>
                <w:rFonts w:cstheme="minorHAnsi"/>
              </w:rPr>
            </w:pPr>
            <w:r>
              <w:t xml:space="preserve">Separator Plate Construction </w:t>
            </w:r>
          </w:p>
        </w:tc>
        <w:tc>
          <w:tcPr>
            <w:tcW w:w="4675" w:type="dxa"/>
          </w:tcPr>
          <w:p w14:paraId="443C165A" w14:textId="77777777" w:rsidR="002114F7" w:rsidRDefault="002114F7" w:rsidP="00174975">
            <w:pPr>
              <w:rPr>
                <w:rFonts w:cstheme="minorHAnsi"/>
              </w:rPr>
            </w:pPr>
            <w:r>
              <w:t xml:space="preserve">304 Stainless Steel </w:t>
            </w:r>
          </w:p>
        </w:tc>
      </w:tr>
      <w:tr w:rsidR="002114F7" w14:paraId="6869AB1F" w14:textId="77777777" w:rsidTr="00174975">
        <w:tc>
          <w:tcPr>
            <w:tcW w:w="4675" w:type="dxa"/>
          </w:tcPr>
          <w:p w14:paraId="37B3887E" w14:textId="77777777" w:rsidR="002114F7" w:rsidRDefault="002114F7" w:rsidP="00174975">
            <w:pPr>
              <w:rPr>
                <w:rFonts w:cstheme="minorHAnsi"/>
              </w:rPr>
            </w:pPr>
            <w:r>
              <w:rPr>
                <w:sz w:val="23"/>
                <w:szCs w:val="23"/>
              </w:rPr>
              <w:t xml:space="preserve">Stainless Steel Finish </w:t>
            </w:r>
          </w:p>
        </w:tc>
        <w:tc>
          <w:tcPr>
            <w:tcW w:w="4675" w:type="dxa"/>
          </w:tcPr>
          <w:p w14:paraId="7D8813B9" w14:textId="77777777" w:rsidR="002114F7" w:rsidRDefault="002114F7" w:rsidP="00174975">
            <w:pPr>
              <w:rPr>
                <w:rFonts w:cstheme="minorHAnsi"/>
              </w:rPr>
            </w:pPr>
            <w:r>
              <w:t xml:space="preserve">All Welds to be Passivated </w:t>
            </w:r>
          </w:p>
        </w:tc>
      </w:tr>
      <w:tr w:rsidR="002114F7" w14:paraId="3C48066E" w14:textId="77777777" w:rsidTr="00174975">
        <w:tc>
          <w:tcPr>
            <w:tcW w:w="4675" w:type="dxa"/>
          </w:tcPr>
          <w:p w14:paraId="38D6BB79" w14:textId="77777777" w:rsidR="002114F7" w:rsidRDefault="002114F7" w:rsidP="00174975">
            <w:pPr>
              <w:rPr>
                <w:rFonts w:cstheme="minorHAnsi"/>
              </w:rPr>
            </w:pPr>
            <w:r>
              <w:t xml:space="preserve">Sludge Removal </w:t>
            </w:r>
          </w:p>
        </w:tc>
        <w:tc>
          <w:tcPr>
            <w:tcW w:w="4675" w:type="dxa"/>
          </w:tcPr>
          <w:p w14:paraId="20E2EA6C" w14:textId="77777777" w:rsidR="002114F7" w:rsidRDefault="002114F7" w:rsidP="00174975">
            <w:pPr>
              <w:rPr>
                <w:rFonts w:cstheme="minorHAnsi"/>
              </w:rPr>
            </w:pPr>
            <w:r>
              <w:t xml:space="preserve">Pyramid Hopper </w:t>
            </w:r>
          </w:p>
        </w:tc>
      </w:tr>
      <w:tr w:rsidR="002114F7" w14:paraId="0469DE67" w14:textId="77777777" w:rsidTr="00174975">
        <w:tc>
          <w:tcPr>
            <w:tcW w:w="4675" w:type="dxa"/>
          </w:tcPr>
          <w:p w14:paraId="322B7198" w14:textId="77777777" w:rsidR="002114F7" w:rsidRDefault="002114F7" w:rsidP="00174975">
            <w:pPr>
              <w:rPr>
                <w:rFonts w:cstheme="minorHAnsi"/>
              </w:rPr>
            </w:pPr>
            <w:r>
              <w:t xml:space="preserve">Fastener Material </w:t>
            </w:r>
          </w:p>
        </w:tc>
        <w:tc>
          <w:tcPr>
            <w:tcW w:w="4675" w:type="dxa"/>
          </w:tcPr>
          <w:p w14:paraId="47B1A092" w14:textId="77777777" w:rsidR="002114F7" w:rsidRDefault="002114F7" w:rsidP="00174975">
            <w:pPr>
              <w:pStyle w:val="Default"/>
              <w:rPr>
                <w:rFonts w:cstheme="minorHAnsi"/>
              </w:rPr>
            </w:pPr>
            <w:r>
              <w:rPr>
                <w:sz w:val="23"/>
                <w:szCs w:val="23"/>
              </w:rPr>
              <w:t xml:space="preserve">18-8 Stainless Steel (A325 Mech. Galvanized for Structural) </w:t>
            </w:r>
          </w:p>
        </w:tc>
      </w:tr>
    </w:tbl>
    <w:p w14:paraId="40D552DE" w14:textId="07AF39BE" w:rsidR="00411AF8" w:rsidRDefault="00411AF8" w:rsidP="00283C23">
      <w:pPr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2114F7" w14:paraId="60CD1BE8" w14:textId="77777777" w:rsidTr="005433F8">
        <w:tc>
          <w:tcPr>
            <w:tcW w:w="9350" w:type="dxa"/>
            <w:gridSpan w:val="2"/>
          </w:tcPr>
          <w:p w14:paraId="6DF811BB" w14:textId="5DFEDAFE" w:rsidR="002114F7" w:rsidRPr="002114F7" w:rsidRDefault="002114F7" w:rsidP="002114F7">
            <w:pPr>
              <w:pStyle w:val="Default"/>
              <w:jc w:val="center"/>
              <w:rPr>
                <w:b/>
                <w:bCs/>
                <w:sz w:val="23"/>
                <w:szCs w:val="23"/>
              </w:rPr>
            </w:pPr>
            <w:r w:rsidRPr="002114F7">
              <w:rPr>
                <w:b/>
                <w:bCs/>
                <w:sz w:val="23"/>
                <w:szCs w:val="23"/>
              </w:rPr>
              <w:t>Components &amp; Features</w:t>
            </w:r>
          </w:p>
        </w:tc>
      </w:tr>
      <w:tr w:rsidR="00411AF8" w14:paraId="0325236A" w14:textId="77777777" w:rsidTr="00411AF8">
        <w:tc>
          <w:tcPr>
            <w:tcW w:w="4675" w:type="dxa"/>
          </w:tcPr>
          <w:p w14:paraId="3E2A178B" w14:textId="7B76ACCB" w:rsidR="00411AF8" w:rsidRDefault="00411AF8" w:rsidP="00411AF8">
            <w:pPr>
              <w:rPr>
                <w:rFonts w:cstheme="minorHAnsi"/>
              </w:rPr>
            </w:pPr>
            <w:r>
              <w:rPr>
                <w:sz w:val="23"/>
                <w:szCs w:val="23"/>
              </w:rPr>
              <w:t xml:space="preserve">Flash Mix Tank </w:t>
            </w:r>
          </w:p>
        </w:tc>
        <w:tc>
          <w:tcPr>
            <w:tcW w:w="4675" w:type="dxa"/>
          </w:tcPr>
          <w:p w14:paraId="12CFE029" w14:textId="77777777" w:rsidR="00411AF8" w:rsidRDefault="00411AF8" w:rsidP="00411AF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(1) 6" flanged influent connection </w:t>
            </w:r>
          </w:p>
          <w:p w14:paraId="4BD73479" w14:textId="77777777" w:rsidR="00411AF8" w:rsidRDefault="00411AF8" w:rsidP="00411AF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- 150-gallon capacity </w:t>
            </w:r>
          </w:p>
          <w:p w14:paraId="1A04ECE9" w14:textId="77777777" w:rsidR="00411AF8" w:rsidRDefault="00411AF8" w:rsidP="00411AF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Constant speed flash mixer with 316L SS shaft and impellers </w:t>
            </w:r>
          </w:p>
          <w:p w14:paraId="4A017026" w14:textId="77777777" w:rsidR="00411AF8" w:rsidRDefault="00411AF8" w:rsidP="00411AF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Up to ½ HP inverter duty TEFC motor (3/60/460V) </w:t>
            </w:r>
          </w:p>
          <w:p w14:paraId="6FD6165F" w14:textId="04B61225" w:rsidR="00411AF8" w:rsidRDefault="00411AF8" w:rsidP="00411AF8">
            <w:pPr>
              <w:rPr>
                <w:rFonts w:cstheme="minorHAnsi"/>
              </w:rPr>
            </w:pPr>
          </w:p>
        </w:tc>
      </w:tr>
      <w:tr w:rsidR="00411AF8" w14:paraId="72E6011D" w14:textId="77777777" w:rsidTr="00411AF8">
        <w:tc>
          <w:tcPr>
            <w:tcW w:w="4675" w:type="dxa"/>
          </w:tcPr>
          <w:p w14:paraId="42CC585F" w14:textId="3DF15650" w:rsidR="00411AF8" w:rsidRDefault="00411AF8" w:rsidP="00411AF8">
            <w:pPr>
              <w:rPr>
                <w:rFonts w:cstheme="minorHAnsi"/>
              </w:rPr>
            </w:pPr>
            <w:r>
              <w:rPr>
                <w:sz w:val="23"/>
                <w:szCs w:val="23"/>
              </w:rPr>
              <w:t xml:space="preserve">Flocculation Tank </w:t>
            </w:r>
          </w:p>
        </w:tc>
        <w:tc>
          <w:tcPr>
            <w:tcW w:w="4675" w:type="dxa"/>
          </w:tcPr>
          <w:p w14:paraId="6E89052A" w14:textId="77777777" w:rsidR="00411AF8" w:rsidRDefault="00411AF8" w:rsidP="00411AF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Mounted integrally to flash mix tank </w:t>
            </w:r>
          </w:p>
          <w:p w14:paraId="19980EC0" w14:textId="77777777" w:rsidR="00411AF8" w:rsidRDefault="00411AF8" w:rsidP="00411AF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- 450-gallon capacity </w:t>
            </w:r>
          </w:p>
          <w:p w14:paraId="797AA434" w14:textId="77777777" w:rsidR="00411AF8" w:rsidRDefault="00411AF8" w:rsidP="00411AF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Flocculation mechanism with 316L SS shaft and impeller </w:t>
            </w:r>
          </w:p>
          <w:p w14:paraId="70FA5187" w14:textId="77777777" w:rsidR="00411AF8" w:rsidRDefault="00411AF8" w:rsidP="00411AF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Up to ¾ HP inverter duty TEFC motor with loose VFD (3/60/460V) </w:t>
            </w:r>
          </w:p>
          <w:p w14:paraId="34671D91" w14:textId="57E2BECD" w:rsidR="00411AF8" w:rsidRDefault="00411AF8" w:rsidP="00411AF8">
            <w:pPr>
              <w:rPr>
                <w:rFonts w:cstheme="minorHAnsi"/>
              </w:rPr>
            </w:pPr>
          </w:p>
        </w:tc>
      </w:tr>
      <w:tr w:rsidR="00411AF8" w14:paraId="7D8F1246" w14:textId="77777777" w:rsidTr="00411AF8">
        <w:tc>
          <w:tcPr>
            <w:tcW w:w="4675" w:type="dxa"/>
          </w:tcPr>
          <w:p w14:paraId="7CC5B3A3" w14:textId="644B7F52" w:rsidR="00411AF8" w:rsidRDefault="00411AF8" w:rsidP="00411AF8">
            <w:pPr>
              <w:rPr>
                <w:rFonts w:cstheme="minorHAnsi"/>
              </w:rPr>
            </w:pPr>
            <w:r>
              <w:rPr>
                <w:sz w:val="23"/>
                <w:szCs w:val="23"/>
              </w:rPr>
              <w:t xml:space="preserve">Influent Area </w:t>
            </w:r>
          </w:p>
        </w:tc>
        <w:tc>
          <w:tcPr>
            <w:tcW w:w="4675" w:type="dxa"/>
          </w:tcPr>
          <w:p w14:paraId="3F604D39" w14:textId="77777777" w:rsidR="00411AF8" w:rsidRDefault="00411AF8" w:rsidP="00411AF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Flanged influent connection </w:t>
            </w:r>
          </w:p>
          <w:p w14:paraId="6C7F54C7" w14:textId="77777777" w:rsidR="00411AF8" w:rsidRDefault="00411AF8" w:rsidP="00411AF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Feed channels for separation plates </w:t>
            </w:r>
          </w:p>
          <w:p w14:paraId="47896907" w14:textId="6BE444A9" w:rsidR="00411AF8" w:rsidRDefault="00411AF8" w:rsidP="00411AF8">
            <w:pPr>
              <w:rPr>
                <w:rFonts w:cstheme="minorHAnsi"/>
              </w:rPr>
            </w:pPr>
            <w:r>
              <w:rPr>
                <w:sz w:val="23"/>
                <w:szCs w:val="23"/>
              </w:rPr>
              <w:t xml:space="preserve">- Diffusion walls with slotted inlet orifices for flow distribution </w:t>
            </w:r>
          </w:p>
        </w:tc>
      </w:tr>
      <w:tr w:rsidR="00411AF8" w14:paraId="341596FC" w14:textId="77777777" w:rsidTr="00411AF8">
        <w:tc>
          <w:tcPr>
            <w:tcW w:w="4675" w:type="dxa"/>
          </w:tcPr>
          <w:p w14:paraId="74BCF45F" w14:textId="1EF3AB30" w:rsidR="00411AF8" w:rsidRDefault="00411AF8" w:rsidP="00411AF8">
            <w:pPr>
              <w:rPr>
                <w:rFonts w:cstheme="minorHAnsi"/>
              </w:rPr>
            </w:pPr>
            <w:r>
              <w:rPr>
                <w:sz w:val="23"/>
                <w:szCs w:val="23"/>
              </w:rPr>
              <w:t xml:space="preserve">Separation Section </w:t>
            </w:r>
          </w:p>
        </w:tc>
        <w:tc>
          <w:tcPr>
            <w:tcW w:w="4675" w:type="dxa"/>
          </w:tcPr>
          <w:p w14:paraId="04FB1AEC" w14:textId="77777777" w:rsidR="00411AF8" w:rsidRDefault="00411AF8" w:rsidP="00411AF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Provides required effective separation area at design flow </w:t>
            </w:r>
          </w:p>
          <w:p w14:paraId="304471FA" w14:textId="77777777" w:rsidR="00411AF8" w:rsidRDefault="00411AF8" w:rsidP="00411AF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Separation plates are sloped 55° from horizontal </w:t>
            </w:r>
          </w:p>
          <w:p w14:paraId="4CD55E09" w14:textId="77777777" w:rsidR="00411AF8" w:rsidRDefault="00411AF8" w:rsidP="00411AF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- 2" spacing between each plate </w:t>
            </w:r>
          </w:p>
          <w:p w14:paraId="0FF7E4EA" w14:textId="30854D6C" w:rsidR="00411AF8" w:rsidRDefault="00411AF8" w:rsidP="00411AF8">
            <w:pPr>
              <w:rPr>
                <w:rFonts w:cstheme="minorHAnsi"/>
              </w:rPr>
            </w:pPr>
            <w:r>
              <w:rPr>
                <w:sz w:val="23"/>
                <w:szCs w:val="23"/>
              </w:rPr>
              <w:t xml:space="preserve">- Structural rear wall contributes to the effective settling area </w:t>
            </w:r>
          </w:p>
        </w:tc>
      </w:tr>
      <w:tr w:rsidR="00411AF8" w14:paraId="75F7D1F7" w14:textId="77777777" w:rsidTr="00411AF8">
        <w:tc>
          <w:tcPr>
            <w:tcW w:w="4675" w:type="dxa"/>
          </w:tcPr>
          <w:p w14:paraId="3B4E214E" w14:textId="256EF614" w:rsidR="00411AF8" w:rsidRDefault="00411AF8" w:rsidP="00411AF8">
            <w:pPr>
              <w:rPr>
                <w:rFonts w:cstheme="minorHAnsi"/>
              </w:rPr>
            </w:pPr>
            <w:r>
              <w:rPr>
                <w:sz w:val="23"/>
                <w:szCs w:val="23"/>
              </w:rPr>
              <w:lastRenderedPageBreak/>
              <w:t xml:space="preserve">Pyramid Sludge Hopper </w:t>
            </w:r>
          </w:p>
        </w:tc>
        <w:tc>
          <w:tcPr>
            <w:tcW w:w="4675" w:type="dxa"/>
          </w:tcPr>
          <w:p w14:paraId="2CE32A85" w14:textId="77777777" w:rsidR="00411AF8" w:rsidRDefault="00411AF8" w:rsidP="00411AF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(1) pyramid sludge hopper </w:t>
            </w:r>
          </w:p>
          <w:p w14:paraId="21E2EE36" w14:textId="77777777" w:rsidR="00411AF8" w:rsidRDefault="00411AF8" w:rsidP="00411AF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(1) 4" flanged connection for purging per hopper (purging equipment by </w:t>
            </w:r>
          </w:p>
          <w:p w14:paraId="19D94272" w14:textId="77777777" w:rsidR="00411AF8" w:rsidRDefault="00411AF8" w:rsidP="00411AF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others) </w:t>
            </w:r>
          </w:p>
          <w:p w14:paraId="3ED6C510" w14:textId="77777777" w:rsidR="00411AF8" w:rsidRDefault="00411AF8" w:rsidP="00411AF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Included blind flange with blow out nozzle on sludge discharge piping </w:t>
            </w:r>
          </w:p>
          <w:p w14:paraId="5052D2C0" w14:textId="77777777" w:rsidR="00411AF8" w:rsidRDefault="00411AF8" w:rsidP="00411AF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Two (2) ½" sludge sampling ports </w:t>
            </w:r>
          </w:p>
          <w:p w14:paraId="3F608C6C" w14:textId="146BE4B9" w:rsidR="00411AF8" w:rsidRDefault="00411AF8" w:rsidP="00411AF8">
            <w:pPr>
              <w:rPr>
                <w:rFonts w:cstheme="minorHAnsi"/>
              </w:rPr>
            </w:pPr>
            <w:r>
              <w:rPr>
                <w:sz w:val="23"/>
                <w:szCs w:val="23"/>
              </w:rPr>
              <w:t xml:space="preserve">- Hinged access port provided for ease of access </w:t>
            </w:r>
          </w:p>
        </w:tc>
      </w:tr>
      <w:tr w:rsidR="00411AF8" w14:paraId="38A38923" w14:textId="77777777" w:rsidTr="00411AF8">
        <w:tc>
          <w:tcPr>
            <w:tcW w:w="4675" w:type="dxa"/>
          </w:tcPr>
          <w:p w14:paraId="3F3EDC8D" w14:textId="276B5056" w:rsidR="00411AF8" w:rsidRDefault="00411AF8" w:rsidP="00411AF8">
            <w:pPr>
              <w:rPr>
                <w:rFonts w:cstheme="minorHAnsi"/>
              </w:rPr>
            </w:pPr>
            <w:r>
              <w:rPr>
                <w:sz w:val="23"/>
                <w:szCs w:val="23"/>
              </w:rPr>
              <w:t xml:space="preserve">Effluent Chamber </w:t>
            </w:r>
          </w:p>
        </w:tc>
        <w:tc>
          <w:tcPr>
            <w:tcW w:w="4675" w:type="dxa"/>
          </w:tcPr>
          <w:p w14:paraId="5AF5C882" w14:textId="77777777" w:rsidR="00411AF8" w:rsidRDefault="00411AF8" w:rsidP="00411AF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Hinged 304 stainless steel effluent launder with flow controlling orifices </w:t>
            </w:r>
          </w:p>
          <w:p w14:paraId="699FF5BF" w14:textId="221A1831" w:rsidR="00411AF8" w:rsidRDefault="00411AF8" w:rsidP="00411AF8">
            <w:pPr>
              <w:rPr>
                <w:rFonts w:cstheme="minorHAnsi"/>
              </w:rPr>
            </w:pPr>
            <w:r>
              <w:rPr>
                <w:sz w:val="23"/>
                <w:szCs w:val="23"/>
              </w:rPr>
              <w:t xml:space="preserve">- One (1) 6" flanged effluent connection </w:t>
            </w:r>
          </w:p>
        </w:tc>
      </w:tr>
      <w:tr w:rsidR="00411AF8" w14:paraId="2EFC4716" w14:textId="77777777" w:rsidTr="00411AF8">
        <w:tc>
          <w:tcPr>
            <w:tcW w:w="4675" w:type="dxa"/>
          </w:tcPr>
          <w:p w14:paraId="74D0DB01" w14:textId="5EDADDFD" w:rsidR="00411AF8" w:rsidRPr="00411AF8" w:rsidRDefault="00411AF8" w:rsidP="00411AF8">
            <w:pPr>
              <w:rPr>
                <w:rFonts w:cstheme="minorHAnsi"/>
              </w:rPr>
            </w:pPr>
            <w:r w:rsidRPr="00411AF8">
              <w:rPr>
                <w:sz w:val="23"/>
                <w:szCs w:val="23"/>
              </w:rPr>
              <w:t xml:space="preserve">Access Platform </w:t>
            </w:r>
          </w:p>
        </w:tc>
        <w:tc>
          <w:tcPr>
            <w:tcW w:w="4675" w:type="dxa"/>
          </w:tcPr>
          <w:p w14:paraId="63D7A039" w14:textId="77777777" w:rsidR="00411AF8" w:rsidRPr="00411AF8" w:rsidRDefault="00411AF8" w:rsidP="00411AF8">
            <w:pPr>
              <w:pStyle w:val="Default"/>
              <w:rPr>
                <w:sz w:val="23"/>
                <w:szCs w:val="23"/>
              </w:rPr>
            </w:pPr>
            <w:r w:rsidRPr="00411AF8">
              <w:rPr>
                <w:sz w:val="23"/>
                <w:szCs w:val="23"/>
              </w:rPr>
              <w:t xml:space="preserve">- (1) “L” shaped access platform to run the length of the clarifier and </w:t>
            </w:r>
          </w:p>
          <w:p w14:paraId="622AA7C3" w14:textId="77777777" w:rsidR="00411AF8" w:rsidRPr="00411AF8" w:rsidRDefault="00411AF8" w:rsidP="00411AF8">
            <w:pPr>
              <w:pStyle w:val="Default"/>
              <w:rPr>
                <w:sz w:val="23"/>
                <w:szCs w:val="23"/>
              </w:rPr>
            </w:pPr>
            <w:r w:rsidRPr="00411AF8">
              <w:rPr>
                <w:sz w:val="23"/>
                <w:szCs w:val="23"/>
              </w:rPr>
              <w:t xml:space="preserve">along the effluent </w:t>
            </w:r>
          </w:p>
          <w:p w14:paraId="1972C3C0" w14:textId="77777777" w:rsidR="00411AF8" w:rsidRPr="00411AF8" w:rsidRDefault="00411AF8" w:rsidP="00411AF8">
            <w:pPr>
              <w:pStyle w:val="Default"/>
              <w:rPr>
                <w:sz w:val="23"/>
                <w:szCs w:val="23"/>
              </w:rPr>
            </w:pPr>
            <w:r w:rsidRPr="00411AF8">
              <w:rPr>
                <w:sz w:val="23"/>
                <w:szCs w:val="23"/>
              </w:rPr>
              <w:t xml:space="preserve">- Platform and supports to be coated carbon steel </w:t>
            </w:r>
          </w:p>
          <w:p w14:paraId="62CC6368" w14:textId="77777777" w:rsidR="00411AF8" w:rsidRPr="00411AF8" w:rsidRDefault="00411AF8" w:rsidP="00411AF8">
            <w:pPr>
              <w:pStyle w:val="Default"/>
              <w:rPr>
                <w:sz w:val="23"/>
                <w:szCs w:val="23"/>
              </w:rPr>
            </w:pPr>
            <w:r w:rsidRPr="00411AF8">
              <w:rPr>
                <w:sz w:val="23"/>
                <w:szCs w:val="23"/>
              </w:rPr>
              <w:t xml:space="preserve">- Platform to be supported by clarifier </w:t>
            </w:r>
          </w:p>
          <w:p w14:paraId="560E71A2" w14:textId="77777777" w:rsidR="00411AF8" w:rsidRPr="00411AF8" w:rsidRDefault="00411AF8" w:rsidP="00411AF8">
            <w:pPr>
              <w:pStyle w:val="Default"/>
              <w:rPr>
                <w:sz w:val="23"/>
                <w:szCs w:val="23"/>
              </w:rPr>
            </w:pPr>
            <w:r w:rsidRPr="00411AF8">
              <w:rPr>
                <w:sz w:val="23"/>
                <w:szCs w:val="23"/>
              </w:rPr>
              <w:t xml:space="preserve">- Includes (1) aluminum ladder with safety gate </w:t>
            </w:r>
          </w:p>
          <w:p w14:paraId="032A406D" w14:textId="77777777" w:rsidR="00411AF8" w:rsidRPr="00411AF8" w:rsidRDefault="00411AF8" w:rsidP="00411AF8">
            <w:pPr>
              <w:pStyle w:val="Default"/>
              <w:rPr>
                <w:sz w:val="23"/>
                <w:szCs w:val="23"/>
              </w:rPr>
            </w:pPr>
            <w:r w:rsidRPr="00411AF8">
              <w:rPr>
                <w:sz w:val="23"/>
                <w:szCs w:val="23"/>
              </w:rPr>
              <w:t xml:space="preserve">- Aluminum bar grating </w:t>
            </w:r>
          </w:p>
          <w:p w14:paraId="06F650A5" w14:textId="77777777" w:rsidR="00411AF8" w:rsidRPr="00411AF8" w:rsidRDefault="00411AF8" w:rsidP="00411AF8">
            <w:pPr>
              <w:pStyle w:val="Default"/>
              <w:rPr>
                <w:sz w:val="23"/>
                <w:szCs w:val="23"/>
              </w:rPr>
            </w:pPr>
            <w:r w:rsidRPr="00411AF8">
              <w:rPr>
                <w:sz w:val="23"/>
                <w:szCs w:val="23"/>
              </w:rPr>
              <w:t xml:space="preserve">- Aluminum handrails with fittings </w:t>
            </w:r>
          </w:p>
          <w:p w14:paraId="0B6EA6A9" w14:textId="32808284" w:rsidR="00411AF8" w:rsidRPr="00411AF8" w:rsidRDefault="00411AF8" w:rsidP="00411AF8">
            <w:pPr>
              <w:rPr>
                <w:rFonts w:cstheme="minorHAnsi"/>
              </w:rPr>
            </w:pPr>
            <w:r w:rsidRPr="00411AF8">
              <w:rPr>
                <w:sz w:val="23"/>
                <w:szCs w:val="23"/>
              </w:rPr>
              <w:t xml:space="preserve">- Conforms to OSHA standards </w:t>
            </w:r>
          </w:p>
        </w:tc>
      </w:tr>
    </w:tbl>
    <w:p w14:paraId="6350D821" w14:textId="77777777" w:rsidR="00411AF8" w:rsidRDefault="00411AF8" w:rsidP="00283C23">
      <w:pPr>
        <w:rPr>
          <w:rFonts w:cstheme="minorHAnsi"/>
        </w:rPr>
      </w:pPr>
    </w:p>
    <w:p w14:paraId="67498717" w14:textId="77777777" w:rsidR="00411AF8" w:rsidRDefault="00411AF8" w:rsidP="00283C23">
      <w:pPr>
        <w:rPr>
          <w:rFonts w:cstheme="minorHAnsi"/>
        </w:rPr>
      </w:pPr>
    </w:p>
    <w:p w14:paraId="3C49CF09" w14:textId="2F8047A6" w:rsidR="00283C23" w:rsidRDefault="00411AF8" w:rsidP="00283C23">
      <w:pPr>
        <w:rPr>
          <w:rFonts w:cstheme="minorHAnsi"/>
        </w:rPr>
      </w:pPr>
      <w:r>
        <w:rPr>
          <w:rFonts w:cstheme="minorHAnsi"/>
        </w:rPr>
        <w:t xml:space="preserve"> </w:t>
      </w:r>
    </w:p>
    <w:sectPr w:rsidR="00283C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3C23"/>
    <w:rsid w:val="000C5B59"/>
    <w:rsid w:val="0014023C"/>
    <w:rsid w:val="002114F7"/>
    <w:rsid w:val="00283C23"/>
    <w:rsid w:val="003A41EC"/>
    <w:rsid w:val="00411AF8"/>
    <w:rsid w:val="00B84037"/>
    <w:rsid w:val="00D56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0E7125"/>
  <w15:chartTrackingRefBased/>
  <w15:docId w15:val="{E9B2ADC1-DB37-45A0-9772-EDEFF5375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14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11AF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411A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341</Words>
  <Characters>1949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Vine</dc:creator>
  <cp:keywords/>
  <dc:description/>
  <cp:lastModifiedBy>Brandon Martinez</cp:lastModifiedBy>
  <cp:revision>2</cp:revision>
  <dcterms:created xsi:type="dcterms:W3CDTF">2021-02-22T17:05:00Z</dcterms:created>
  <dcterms:modified xsi:type="dcterms:W3CDTF">2021-02-22T23:22:00Z</dcterms:modified>
</cp:coreProperties>
</file>